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A3" w:rsidRPr="003B3EA3" w:rsidRDefault="003B3EA3" w:rsidP="003B3EA3">
      <w:pPr>
        <w:spacing w:line="480" w:lineRule="auto"/>
        <w:jc w:val="center"/>
        <w:rPr>
          <w:b/>
          <w:bCs/>
        </w:rPr>
      </w:pPr>
      <w:r w:rsidRPr="003B3EA3">
        <w:rPr>
          <w:b/>
          <w:bCs/>
        </w:rPr>
        <w:t>CI</w:t>
      </w:r>
      <w:r>
        <w:rPr>
          <w:b/>
          <w:bCs/>
        </w:rPr>
        <w:t>NTA, TAKUT DAN HARAP KEPADA ALLA</w:t>
      </w:r>
      <w:r w:rsidRPr="003B3EA3">
        <w:rPr>
          <w:b/>
          <w:bCs/>
        </w:rPr>
        <w:t>H</w:t>
      </w:r>
      <w:r>
        <w:rPr>
          <w:b/>
          <w:bCs/>
        </w:rPr>
        <w:t xml:space="preserve"> SWT</w:t>
      </w:r>
    </w:p>
    <w:p w:rsidR="003B3EA3" w:rsidRDefault="003B3EA3" w:rsidP="003B3EA3">
      <w:pPr>
        <w:jc w:val="center"/>
      </w:pPr>
      <w:r>
        <w:t>Oleh: Sarkati</w:t>
      </w:r>
    </w:p>
    <w:p w:rsidR="003B3EA3" w:rsidRDefault="003B3EA3" w:rsidP="003B3EA3">
      <w:pPr>
        <w:jc w:val="center"/>
      </w:pPr>
    </w:p>
    <w:p w:rsidR="003B3EA3" w:rsidRDefault="003B3EA3" w:rsidP="003B3EA3">
      <w:pPr>
        <w:jc w:val="center"/>
      </w:pPr>
    </w:p>
    <w:p w:rsidR="003B3EA3" w:rsidRDefault="003B3EA3" w:rsidP="003B3EA3">
      <w:pPr>
        <w:jc w:val="center"/>
      </w:pPr>
      <w:r w:rsidRPr="004C4B93">
        <w:rPr>
          <w:b/>
          <w:bCs/>
        </w:rPr>
        <w:t>ABSTRAK</w:t>
      </w:r>
    </w:p>
    <w:p w:rsidR="003B3EA3" w:rsidRDefault="003B3EA3" w:rsidP="003B3EA3"/>
    <w:p w:rsidR="003B3EA3" w:rsidRDefault="001A3143" w:rsidP="001A3143">
      <w:pPr>
        <w:jc w:val="both"/>
      </w:pPr>
      <w:r>
        <w:t>I</w:t>
      </w:r>
      <w:r>
        <w:t xml:space="preserve">badah itu tidak </w:t>
      </w:r>
      <w:proofErr w:type="gramStart"/>
      <w:r>
        <w:t>akan</w:t>
      </w:r>
      <w:proofErr w:type="gramEnd"/>
      <w:r>
        <w:t xml:space="preserve"> diterima kecuali dengan tiga rukun (pilar). Ketiga rukun tersebut adalah cinta, harap, dan takut. Dalam beribadah seseorang harus menghadirkan rasa cinta kepada Allah, berharap kepada-Nya, dan takut kepada-Nya. Inilah tiga pilar ibadah yang harus ada pada semua ibadah yang kita kerjakan. Shalat Anda, puasa Anda, haji Anda, sedekah Anda, semua ketaatan yang Anda jadikan jalan untuk mendekatkan diri kepada Allah harus terdapat tiga hal ini. Anda wajib beribadah kepada Allah dengan mencintai-Nya.</w:t>
      </w:r>
    </w:p>
    <w:p w:rsidR="001A3143" w:rsidRDefault="001A3143" w:rsidP="001A3143">
      <w:pPr>
        <w:jc w:val="both"/>
      </w:pPr>
    </w:p>
    <w:p w:rsidR="001A3143" w:rsidRDefault="001A3143" w:rsidP="001A3143">
      <w:pPr>
        <w:jc w:val="both"/>
      </w:pPr>
      <w:r>
        <w:t>Kata Kunci: Cinta, Harap dan Takut</w:t>
      </w:r>
    </w:p>
    <w:p w:rsidR="001A3143" w:rsidRDefault="001A3143" w:rsidP="001A3143">
      <w:pPr>
        <w:jc w:val="both"/>
      </w:pPr>
      <w:bookmarkStart w:id="0" w:name="_GoBack"/>
      <w:bookmarkEnd w:id="0"/>
    </w:p>
    <w:p w:rsidR="003B3EA3" w:rsidRDefault="003B3EA3" w:rsidP="003B3EA3"/>
    <w:p w:rsidR="003B3EA3" w:rsidRPr="003B3EA3" w:rsidRDefault="003B3EA3" w:rsidP="003B3EA3">
      <w:pPr>
        <w:pStyle w:val="ListParagraph"/>
        <w:numPr>
          <w:ilvl w:val="0"/>
          <w:numId w:val="1"/>
        </w:numPr>
        <w:ind w:left="284" w:hanging="284"/>
        <w:rPr>
          <w:b/>
          <w:bCs/>
        </w:rPr>
      </w:pPr>
      <w:r w:rsidRPr="003B3EA3">
        <w:rPr>
          <w:b/>
          <w:bCs/>
        </w:rPr>
        <w:t>Pendahuluan</w:t>
      </w:r>
    </w:p>
    <w:p w:rsidR="003B3EA3" w:rsidRDefault="003B3EA3" w:rsidP="003B3EA3">
      <w:pPr>
        <w:ind w:firstLine="680"/>
        <w:jc w:val="both"/>
      </w:pPr>
      <w:r>
        <w:t xml:space="preserve">Ibadah bukanlah sekedar gerakan jasad yang terlihat oleh mata, namun juga harus menyertakan yang lain. Sebagaimana seseorang yang sedang melaksanakan sholat, </w:t>
      </w:r>
      <w:proofErr w:type="gramStart"/>
      <w:r>
        <w:t>ia</w:t>
      </w:r>
      <w:proofErr w:type="gramEnd"/>
      <w:r>
        <w:t xml:space="preserve"> tidak hanya bergerak untuk melaksanakan setiap rukun dan wajib sholat, tetapi juga harus menghadirkan hati sebagai ruh sholat tersebut. Bahkan jika seseorang menampakkan kekhusyukan badan dan hatinya kosong dan bermain-main maka </w:t>
      </w:r>
      <w:proofErr w:type="gramStart"/>
      <w:r>
        <w:t>ia</w:t>
      </w:r>
      <w:proofErr w:type="gramEnd"/>
      <w:r>
        <w:t xml:space="preserve"> terjatuh dalam kekhusyukan kemunafikan.</w:t>
      </w:r>
    </w:p>
    <w:p w:rsidR="003B3EA3" w:rsidRDefault="003B3EA3" w:rsidP="003B3EA3">
      <w:pPr>
        <w:ind w:firstLine="680"/>
        <w:jc w:val="both"/>
      </w:pPr>
      <w:r>
        <w:t xml:space="preserve">Ketahuilah, bahwa ibadah seorang hamba harus dibangun oleh tiga pilar, dan ketiganya harus terkumpul seluruhnya dalam setiap </w:t>
      </w:r>
      <w:proofErr w:type="gramStart"/>
      <w:r>
        <w:t>muslim</w:t>
      </w:r>
      <w:proofErr w:type="gramEnd"/>
      <w:r>
        <w:t xml:space="preserve">. Ibadah seseorang tidaklah </w:t>
      </w:r>
      <w:proofErr w:type="gramStart"/>
      <w:r>
        <w:t>akan</w:t>
      </w:r>
      <w:proofErr w:type="gramEnd"/>
      <w:r>
        <w:t xml:space="preserve"> benar dan sempurna kecuali dengan adanya pilar-pilar tersebut. Bahkan sebagian ulama mengatakannya sebagai ‘rukun ibadah’. Tiga hal itu adalah “cinta, takut dan harap”. Sehingga seorang salaf berkata, “Barang siapa beribadah kepada Alloh dengan cinta saja maka dia seorang zindiq, barang siapa beribadah hanya dengan khouf (takut) saja maka haruri (khowarij), barang siapa beribadah hanya dengan rasa harap saja maka dia seorang murji’ dan barang siapa yang beribadah dengan cinta, takut dan harap maka dia seorang mukmin.”</w:t>
      </w:r>
    </w:p>
    <w:p w:rsidR="003B3EA3" w:rsidRDefault="003B3EA3" w:rsidP="003B3EA3"/>
    <w:p w:rsidR="003B3EA3" w:rsidRDefault="003B3EA3" w:rsidP="003B3EA3"/>
    <w:p w:rsidR="003B3EA3" w:rsidRPr="003B3EA3" w:rsidRDefault="003B3EA3" w:rsidP="003B3EA3">
      <w:pPr>
        <w:pStyle w:val="ListParagraph"/>
        <w:numPr>
          <w:ilvl w:val="0"/>
          <w:numId w:val="1"/>
        </w:numPr>
        <w:ind w:left="284" w:hanging="284"/>
        <w:rPr>
          <w:b/>
          <w:bCs/>
        </w:rPr>
      </w:pPr>
      <w:r w:rsidRPr="003B3EA3">
        <w:rPr>
          <w:b/>
          <w:bCs/>
        </w:rPr>
        <w:t>Pembahasan</w:t>
      </w:r>
    </w:p>
    <w:p w:rsidR="003B3EA3" w:rsidRDefault="003B3EA3" w:rsidP="003B3EA3">
      <w:pPr>
        <w:pStyle w:val="ListParagraph"/>
        <w:numPr>
          <w:ilvl w:val="0"/>
          <w:numId w:val="2"/>
        </w:numPr>
        <w:ind w:left="567" w:hanging="283"/>
      </w:pPr>
      <w:r>
        <w:t>Cinta</w:t>
      </w:r>
    </w:p>
    <w:p w:rsidR="004C4B93" w:rsidRDefault="004C4B93" w:rsidP="003B3EA3">
      <w:pPr>
        <w:ind w:firstLine="680"/>
        <w:jc w:val="both"/>
      </w:pPr>
      <w:r>
        <w:t xml:space="preserve">Ajaran </w:t>
      </w:r>
      <w:r>
        <w:rPr>
          <w:rStyle w:val="Emphasis"/>
        </w:rPr>
        <w:t>mahabbah</w:t>
      </w:r>
      <w:r>
        <w:t xml:space="preserve"> memiliki dasar dan landasan, baik di dalam Alquran maupun Sunah Nabi SAW.  Hal ini juga menunjukkan bahwa ajaran tentang cinta khususnya dan tasawuf umumnya, dalam Islam tidaklah mengadopsi dari unsur-unsur kebudayaan asing atau agama lain seperti yang sering ditudingkan oleh kalangan orientalis.</w:t>
      </w:r>
    </w:p>
    <w:p w:rsidR="003B3EA3" w:rsidRDefault="003B3EA3" w:rsidP="003B3EA3">
      <w:pPr>
        <w:ind w:firstLine="680"/>
        <w:jc w:val="both"/>
      </w:pPr>
      <w:r>
        <w:lastRenderedPageBreak/>
        <w:t xml:space="preserve">Cinta adalah rukun ibadah yang terpenting, karena cinta adalah pokok ibadah. Makna cinta tidak terbatas hanya kepada hubungan kasih antara dua insan semata, namun sesungguhnya makna dari cinta itu lebih luas dan dalam. Kecintaan yang paling agung dan mulia di dalam kehidupan kita ini adalah kecintaan kita kepada Alloh. Dimana jika seorang hamba mencintai Alloh, maka dia </w:t>
      </w:r>
      <w:proofErr w:type="gramStart"/>
      <w:r>
        <w:t>akan</w:t>
      </w:r>
      <w:proofErr w:type="gramEnd"/>
      <w:r>
        <w:t xml:space="preserve"> rela untuk melakukan seluruh hal yang diperintahkan dan menjauhi seluruh hal yang dilarang oleh yang dicintainya tersebut. Cinta kepada Alloh juga mengharuskan membenci segala sesuatu yang dibenci oleh Alloh. Sesungguhnya apabila ditanyakan kepada setiap </w:t>
      </w:r>
      <w:proofErr w:type="gramStart"/>
      <w:r>
        <w:t>muslim</w:t>
      </w:r>
      <w:proofErr w:type="gramEnd"/>
      <w:r>
        <w:t> “Apakah anda mencintai Alloh?” maka tentu dia akan menjawab “Tentu saja”.</w:t>
      </w:r>
    </w:p>
    <w:p w:rsidR="003B3EA3" w:rsidRDefault="003B3EA3" w:rsidP="003B3EA3">
      <w:pPr>
        <w:ind w:firstLine="680"/>
        <w:jc w:val="both"/>
      </w:pPr>
      <w:r>
        <w:t xml:space="preserve">Namun pernyataan tanpa bukti tidaklah bermanfaat. Alloh tidak membutuhkan pernyataan belaka, Dia menginginkan agar kita membuktikan pernyataan kita “Aku cinta Alloh”. Oleh karena itulah, Alloh menguji setiap </w:t>
      </w:r>
      <w:proofErr w:type="gramStart"/>
      <w:r>
        <w:t>muslim</w:t>
      </w:r>
      <w:proofErr w:type="gramEnd"/>
      <w:r>
        <w:t xml:space="preserve"> dalam firman-Nya, “Katakanlah (wahai muhammad): Jika kamu (benar-benar) mencintai Allah, ikutilah aku, niscaya Allah mengasihi dan mengampuni dosa-dosamu. Allah Maha Pengampun lagi Maha Penyayang.” (Ali Imran: 31). Ya, bukti kecintaan kita kepada Alloh adalah dengan mengikuti Rasululloh dalam segala hal. Bahkan kecintaan kita terhadap beliau harus lebih dari kecintaan kita terhadap diri sendiri dan keluarga. Beliaulah teladan baik dalam aqidah, ibadah, akhlak, muamalah dan sebagainya. Alloh berfirman, “Sesungguhnya telah ada pada (diri) Rasulullah itu suri teladan yang baik bagimu (yaitu) bagi orang yang mengharap (rahmat) Allah dan (kedatangan) hari kiamat dan dia banyak menyebut Allah.” (Al Ahzab: 21)</w:t>
      </w:r>
    </w:p>
    <w:p w:rsidR="003B3EA3" w:rsidRDefault="003B3EA3" w:rsidP="003B3EA3">
      <w:pPr>
        <w:ind w:firstLine="680"/>
        <w:jc w:val="both"/>
      </w:pPr>
      <w:r>
        <w:t xml:space="preserve">Maka jika kita mencintai Alloh, </w:t>
      </w:r>
      <w:proofErr w:type="gramStart"/>
      <w:r>
        <w:t>mari</w:t>
      </w:r>
      <w:proofErr w:type="gramEnd"/>
      <w:r>
        <w:t xml:space="preserve"> kita buktikan dengan menjadikan Rasululloh sebagai panutan kita, bukan dengan menjadikan orang-orang kafir sebagai panutan, walaupun mereka itu populer dan terkenal seperti artis, selebritis dan semacamnya. Karena sesungguhnya Rosululloh bersabda “Seseorang itu akan bersama dengan orang yang dicintainya (di hari akhirat nanti).” (HR. Muslim). Dimana makna dari hadits ini adalah jika ketika di dunia kita mencintai orang-orang shaleh (seperti para rosul dan nabi) dan menjadikan mereka teladan, maka di akhirat nanti kita akan bersama mereka, dan sebaliknya jika ketika di dunia kita mencintai orang-orang kafir dan menjadikan mereka teladan, maka di akhirat nanti kita pun akan bersama mereka. Bukankah tempat mereka di akherat merupakan seburuk-buruk tempat. Duhai, betapa musibah yang sangat besar!</w:t>
      </w:r>
    </w:p>
    <w:p w:rsidR="00337D65" w:rsidRDefault="00337D65" w:rsidP="002F2DEF">
      <w:pPr>
        <w:ind w:firstLine="680"/>
        <w:jc w:val="both"/>
      </w:pPr>
      <w:r>
        <w:t xml:space="preserve">Ibadah dari asal maknanya bisa berarti menghinakan diri. Dan </w:t>
      </w:r>
      <w:proofErr w:type="gramStart"/>
      <w:r>
        <w:t>ia</w:t>
      </w:r>
      <w:proofErr w:type="gramEnd"/>
      <w:r>
        <w:t xml:space="preserve"> selain mengandung makna penghinaan diri di hadapan Alloh azza wajalla juga mengandung al-Hubb (cinta) yang tinggi kepada-Nya azza wajalla. Dengan kecintaan yang tinggi disertai penghinaan yang sempurna kepada Alloh subhanahu wata’ala, seorang hamba </w:t>
      </w:r>
      <w:proofErr w:type="gramStart"/>
      <w:r>
        <w:t>akan</w:t>
      </w:r>
      <w:proofErr w:type="gramEnd"/>
      <w:r>
        <w:t xml:space="preserve"> sampai pada penghambaan diri kepada-Nya subhanahu wata’ala, sebab puncak</w:t>
      </w:r>
      <w:r w:rsidR="002F2DEF">
        <w:t xml:space="preserve"> </w:t>
      </w:r>
      <w:r>
        <w:t>dari</w:t>
      </w:r>
      <w:r w:rsidR="002F2DEF">
        <w:t xml:space="preserve"> </w:t>
      </w:r>
      <w:r>
        <w:t>al-Hubb</w:t>
      </w:r>
      <w:r w:rsidR="002F2DEF">
        <w:t xml:space="preserve"> </w:t>
      </w:r>
      <w:r>
        <w:t>adalah</w:t>
      </w:r>
      <w:r w:rsidR="002F2DEF">
        <w:t xml:space="preserve"> </w:t>
      </w:r>
      <w:r>
        <w:t>at-Tatayyum</w:t>
      </w:r>
      <w:r w:rsidR="002F2DEF">
        <w:t xml:space="preserve"> </w:t>
      </w:r>
      <w:r>
        <w:t xml:space="preserve">(penghambaan). Sehingga tidak </w:t>
      </w:r>
      <w:proofErr w:type="gramStart"/>
      <w:r>
        <w:t>akan</w:t>
      </w:r>
      <w:proofErr w:type="gramEnd"/>
      <w:r>
        <w:t xml:space="preserve"> terbangun penghambaan diri kepada Alloh azza wajalla kecuali dengan terkumpulnya keduanya sekaligus, yaitu cinta dan penghinaan diri.</w:t>
      </w:r>
    </w:p>
    <w:p w:rsidR="00337D65" w:rsidRDefault="00337D65" w:rsidP="00337D65">
      <w:pPr>
        <w:ind w:firstLine="680"/>
        <w:jc w:val="both"/>
      </w:pPr>
      <w:r>
        <w:lastRenderedPageBreak/>
        <w:t>Syaikh Muhammad bin Sholih al-Utsaimin rahimahullahu ta’ala mengatakan: “Dan peribadahan kepada Alloh subhanahu wata’ala itu terbangun atas dua hal; puncak kecintaan dan puncak perendahan diri. Pada kecintaan terdapat tuntutan dan pencarian, sedangkan pada penghinaan dan perendahan diri terdapat rasa takut dan al-Harob (lari m</w:t>
      </w:r>
      <w:r w:rsidR="00E04AC6">
        <w:t>enjauhi hal yang ditakuti).”</w:t>
      </w:r>
      <w:r w:rsidR="00E04AC6">
        <w:rPr>
          <w:rStyle w:val="FootnoteReference"/>
        </w:rPr>
        <w:footnoteReference w:id="1"/>
      </w:r>
    </w:p>
    <w:p w:rsidR="00337D65" w:rsidRDefault="00337D65" w:rsidP="00337D65">
      <w:pPr>
        <w:ind w:firstLine="680"/>
        <w:jc w:val="both"/>
      </w:pPr>
      <w:r>
        <w:t xml:space="preserve">Syaikhul Islam Ibnu Taimiyah rahimahullahu ta’ala mengatakan: “Dan siapa saja yang tunduk dan merendahkan diri kepada seseorang, tetapi disertai kebencian kepadanya maka ia tidak dikatakan telah menghambakan diri kepada orang tersebut. Seandainya seseorang mencintai sesuatu, tetapi tidak ada ketundukan dan penghinaan diri kepadanya </w:t>
      </w:r>
      <w:proofErr w:type="gramStart"/>
      <w:r>
        <w:t>ia</w:t>
      </w:r>
      <w:proofErr w:type="gramEnd"/>
      <w:r>
        <w:t xml:space="preserve"> juga tidak disebut menghambakan diri kepada sesuatu tersebut. Hal ini </w:t>
      </w:r>
      <w:proofErr w:type="gramStart"/>
      <w:r>
        <w:t>sama</w:t>
      </w:r>
      <w:proofErr w:type="gramEnd"/>
      <w:r>
        <w:t xml:space="preserve"> seperti seseorang yang mencintai anak atau temannya. Oleh sebab itu tidaklah mencukupi bila hanya salah satunya saja yang ada dalam sebuah peribadahan, namun yang seharusnya lebih dicintai oleh hamba ialah Alloh subhanahu wata’ala dibanding kecintaan kepada selain-Nya, dan Alloh azza wajalla harus lebih ia agungkan dari selain-Nya, dan tidak ada yang berhak atas kecintaan yang tinggi serta penghinaan dan ketundukannya yang sempurna s</w:t>
      </w:r>
      <w:r w:rsidR="00E04AC6">
        <w:t>elain Alloh azza wajalla….”.</w:t>
      </w:r>
      <w:r w:rsidR="00E04AC6">
        <w:rPr>
          <w:rStyle w:val="FootnoteReference"/>
        </w:rPr>
        <w:footnoteReference w:id="2"/>
      </w:r>
    </w:p>
    <w:p w:rsidR="00337D65" w:rsidRDefault="00337D65" w:rsidP="003B3EA3">
      <w:pPr>
        <w:ind w:left="284"/>
      </w:pPr>
    </w:p>
    <w:p w:rsidR="003B3EA3" w:rsidRDefault="003B3EA3" w:rsidP="003B3EA3">
      <w:pPr>
        <w:pStyle w:val="ListParagraph"/>
        <w:numPr>
          <w:ilvl w:val="0"/>
          <w:numId w:val="2"/>
        </w:numPr>
        <w:ind w:left="567" w:hanging="283"/>
      </w:pPr>
      <w:r>
        <w:t>Takut</w:t>
      </w:r>
    </w:p>
    <w:p w:rsidR="00337D65" w:rsidRDefault="00337D65" w:rsidP="00337D65">
      <w:pPr>
        <w:ind w:firstLine="680"/>
        <w:jc w:val="both"/>
      </w:pPr>
      <w:r>
        <w:t xml:space="preserve">Pilar lainnya yang mesti ada dalam ibadah seorang </w:t>
      </w:r>
      <w:proofErr w:type="gramStart"/>
      <w:r>
        <w:t>muslim</w:t>
      </w:r>
      <w:proofErr w:type="gramEnd"/>
      <w:r>
        <w:t xml:space="preserve"> adalah rasa takut. Dimana dengan adanya rasa takut, seorang hamba </w:t>
      </w:r>
      <w:proofErr w:type="gramStart"/>
      <w:r>
        <w:t>akan</w:t>
      </w:r>
      <w:proofErr w:type="gramEnd"/>
      <w:r>
        <w:t xml:space="preserve"> termotivasi untuk rajin mencari ilmu dan beribadah kepada Alloh semata agar bebas dari murka dan adzab-Nya. Selain itu, rasa takut inilah yang juga dapat mencegah keinginan seseorang untuk berbuat maksiat. Alloh berfirman, “(Yaitu) orang-orang yang takut </w:t>
      </w:r>
      <w:proofErr w:type="gramStart"/>
      <w:r>
        <w:t>akan</w:t>
      </w:r>
      <w:proofErr w:type="gramEnd"/>
      <w:r>
        <w:t xml:space="preserve"> (azab) Tuhan mereka, sedang mereka tidak melihat-Nya, dan mereka merasa takut akan (tibanya) hari kiamat.” (Al Anbiya: 49)</w:t>
      </w:r>
    </w:p>
    <w:p w:rsidR="00337D65" w:rsidRDefault="00337D65" w:rsidP="00337D65">
      <w:pPr>
        <w:ind w:firstLine="680"/>
        <w:jc w:val="both"/>
      </w:pPr>
      <w:r>
        <w:t xml:space="preserve">Rasa takut ada bermacam-macam, namun yang takutnya seorang </w:t>
      </w:r>
      <w:proofErr w:type="gramStart"/>
      <w:r>
        <w:t>muslim</w:t>
      </w:r>
      <w:proofErr w:type="gramEnd"/>
      <w:r>
        <w:t xml:space="preserve"> ialah takut akan pedihnya sakaratul maut, rasa takut akan adzab kubur, rasa takut terhadap siksa neraka, rasa takut akan mati dalam keadaan yang buruk (mati dalam keadaan sedang bermaksiat kepada Alloh), rasa takut akan hilangnya iman dan lain sebagainya. Rasa takut semacam inilah yang harus ada dalam hati seorang hamba.</w:t>
      </w:r>
    </w:p>
    <w:p w:rsidR="00337D65" w:rsidRDefault="00337D65" w:rsidP="00337D65">
      <w:pPr>
        <w:ind w:firstLine="680"/>
        <w:jc w:val="both"/>
      </w:pPr>
      <w:proofErr w:type="gramStart"/>
      <w:r>
        <w:t>Ia</w:t>
      </w:r>
      <w:proofErr w:type="gramEnd"/>
      <w:r>
        <w:t xml:space="preserve"> merupakan peribadahan hati dan rukun ibadah yang agung yang mana keikhlasan seseorang dalam beragama bagi Alloh subhanahu wata’ala -sebagaimana yang Dia azza wajalla perintahkan kepada hamba-Nya- tidak akan lurus kecuali dengannya. Khouf ialah kegundahan hati </w:t>
      </w:r>
      <w:proofErr w:type="gramStart"/>
      <w:r>
        <w:t>akan</w:t>
      </w:r>
      <w:proofErr w:type="gramEnd"/>
      <w:r>
        <w:t xml:space="preserve"> terjadinya sesuatu yang tidak disuka berupa hukuman dan adzab Alloh azza wajalla yang menimbulkan sikap penghambaan dan ketundukan seorang ha</w:t>
      </w:r>
      <w:r w:rsidR="00E04AC6">
        <w:t>mba kepada-Nya azza wajalla.</w:t>
      </w:r>
      <w:r w:rsidR="00E04AC6">
        <w:rPr>
          <w:rStyle w:val="FootnoteReference"/>
        </w:rPr>
        <w:footnoteReference w:id="3"/>
      </w:r>
    </w:p>
    <w:p w:rsidR="003B3EA3" w:rsidRDefault="003B3EA3" w:rsidP="003B3EA3"/>
    <w:p w:rsidR="003B3EA3" w:rsidRDefault="00337D65" w:rsidP="003B3EA3">
      <w:pPr>
        <w:pStyle w:val="ListParagraph"/>
        <w:numPr>
          <w:ilvl w:val="0"/>
          <w:numId w:val="2"/>
        </w:numPr>
        <w:ind w:left="567" w:hanging="283"/>
      </w:pPr>
      <w:r>
        <w:lastRenderedPageBreak/>
        <w:t>Harap</w:t>
      </w:r>
    </w:p>
    <w:p w:rsidR="00337D65" w:rsidRDefault="00337D65" w:rsidP="00337D65">
      <w:pPr>
        <w:ind w:firstLine="680"/>
        <w:jc w:val="both"/>
      </w:pPr>
      <w:r>
        <w:t xml:space="preserve">Pilar berikutnya yang harus ada dalam ibadah seorang hamba adalah rasa harap. Rasa harap yang dimaksud adalah antara lain harapan akan diterimanya amal kita, harapan akan dimasukkan surga, harapan untuk berjumpa dengan Alloh, harapan akan diampuni dosa, harapan untuk dijauhkan dari neraka, harapan diberikan kehidupan yang bahagia di dunia dan akhirat dan lain sebagainya. Rasa harap inilah yang dapat mendorong seseorang untuk tetap terus berusaha untuk taat, meskipun sesekali dia terjatuh ke dalam kemaksiatan namun dia tidak putus asa untuk terus berusaha sekuat tenaga untuk menjadi hamba yang taat. Karena dia berharap Alloh </w:t>
      </w:r>
      <w:proofErr w:type="gramStart"/>
      <w:r>
        <w:t>akan</w:t>
      </w:r>
      <w:proofErr w:type="gramEnd"/>
      <w:r>
        <w:t xml:space="preserve"> mengampuni dosanya yaitu dengan jalan bertaubat dari kesalahannya tersebut dan memperbanyak melakukan amal kebaikan. Sebagaimana firman Alloh “Wahai hamba-hamba-Ku yang malampaui batas terhadap diri mereka sendiri, janganlah kamu berputus asa dari rahmat Allah. Sesungguhnya Allah mengampuni dosa-dosa semuanya. Sesungguhnya Dia-lah Yang Maha Pengampun lagi Maha Penyayang.” (</w:t>
      </w:r>
      <w:proofErr w:type="gramStart"/>
      <w:r>
        <w:t>Az</w:t>
      </w:r>
      <w:proofErr w:type="gramEnd"/>
      <w:r>
        <w:t xml:space="preserve"> Zumar: 53)</w:t>
      </w:r>
    </w:p>
    <w:p w:rsidR="00337D65" w:rsidRDefault="00337D65" w:rsidP="00337D65">
      <w:pPr>
        <w:ind w:firstLine="680"/>
        <w:jc w:val="both"/>
      </w:pPr>
      <w:r>
        <w:t xml:space="preserve">Harapan berbeda dengan angan-angan. Sebagai contoh orang yang berharap menjadi orang baik maka </w:t>
      </w:r>
      <w:proofErr w:type="gramStart"/>
      <w:r>
        <w:t>ia</w:t>
      </w:r>
      <w:proofErr w:type="gramEnd"/>
      <w:r>
        <w:t xml:space="preserve"> akan melakukan hal-hal yang merupakan ciri-ciri orang baik, sedangkan orang yang berkeinginan menjadi orang baik namun tidak berusaha untuk melakukan kebaikan maka orang-orang inilah yang tertipu oleh angan-angan dirinya sendiri.</w:t>
      </w:r>
    </w:p>
    <w:p w:rsidR="002F2DEF" w:rsidRDefault="002F2DEF" w:rsidP="002F2DEF">
      <w:pPr>
        <w:ind w:firstLine="680"/>
        <w:jc w:val="both"/>
      </w:pPr>
      <w:proofErr w:type="gramStart"/>
      <w:r>
        <w:t>Ia</w:t>
      </w:r>
      <w:proofErr w:type="gramEnd"/>
      <w:r>
        <w:t xml:space="preserve"> juga termasuk peribadahan hati dan rukun ibadah yang sangat agung. Ialah harapan yang kuat atas rohmat dan balasan berupa pahala dari Alloh subhanahu wata’ala yang menyertai ketundukan dan penghinaan diri kepada-Nya subhanahu wata’ala.</w:t>
      </w:r>
    </w:p>
    <w:p w:rsidR="002F2DEF" w:rsidRDefault="002F2DEF" w:rsidP="002F2DEF">
      <w:pPr>
        <w:ind w:firstLine="680"/>
        <w:jc w:val="both"/>
      </w:pPr>
      <w:r>
        <w:t xml:space="preserve">Maka, ibadah yang telah Alloh azza wajalla fardhukan kepada hamba-Nya harus terdapat tiga rukun tersebut padanya dengan sempurna. Peribadahan kepada Alloh azza wajalla harus disertai ketundukan dan kecintaan yang sempurna serta rasa takut dan harapan yang tinggi. Bila ketiganya terdapat dalam sebuah amalan maka </w:t>
      </w:r>
      <w:proofErr w:type="gramStart"/>
      <w:r>
        <w:t>ia</w:t>
      </w:r>
      <w:proofErr w:type="gramEnd"/>
      <w:r>
        <w:t xml:space="preserve"> benar-benar bermakna ibadah.</w:t>
      </w:r>
    </w:p>
    <w:p w:rsidR="002F2DEF" w:rsidRDefault="002F2DEF" w:rsidP="002F2DEF">
      <w:pPr>
        <w:ind w:firstLine="680"/>
        <w:jc w:val="both"/>
      </w:pPr>
      <w:r>
        <w:t xml:space="preserve">Di dalam al-Qur’an Alloh azza wajalla menyebutkan rukun-rukun ibadah itu ketika menyifati peribadahan para anbiya’ (nabi-nabi) alaihimus </w:t>
      </w:r>
      <w:proofErr w:type="gramStart"/>
      <w:r>
        <w:t>salam</w:t>
      </w:r>
      <w:proofErr w:type="gramEnd"/>
      <w:r>
        <w:t xml:space="preserve"> dengan firman-Nya (yang artinya):</w:t>
      </w:r>
      <w:r>
        <w:t xml:space="preserve"> </w:t>
      </w:r>
      <w:r>
        <w:t>….. Sesungguhnya mereka adalah orang-orang yang selalu bersegera dalam (mengerjakan) perbuatan-perbuatan yang baik dan mereka berdoa kepada kami dengan harap (atas rohmat Alloh) dan cemas (</w:t>
      </w:r>
      <w:proofErr w:type="gramStart"/>
      <w:r>
        <w:t>akan</w:t>
      </w:r>
      <w:proofErr w:type="gramEnd"/>
      <w:r>
        <w:t xml:space="preserve"> adzab-Nya). Dan mereka adalah orang-orang yang khusyu’ kepada kami. (QS. al-Anbiya’ [21]: 90)</w:t>
      </w:r>
    </w:p>
    <w:p w:rsidR="002F2DEF" w:rsidRDefault="002F2DEF" w:rsidP="002F2DEF">
      <w:pPr>
        <w:ind w:firstLine="680"/>
        <w:jc w:val="both"/>
      </w:pPr>
      <w:r>
        <w:t xml:space="preserve">Syaikh DR. Sholih al-Fauzan alaihimus </w:t>
      </w:r>
      <w:proofErr w:type="gramStart"/>
      <w:r>
        <w:t>salam</w:t>
      </w:r>
      <w:proofErr w:type="gramEnd"/>
      <w:r>
        <w:t xml:space="preserve"> mengatakan: “Sesungguhnya ibadah itu tegak di atas tiga rukun; yaitu cinta, takut serta harapan. Kecintaan harus ada bersama penghinaan diri dan ketundukan, sedangkan takut harus ada bersama harapan. Dan dalam sebuah ibadah harus terdapat tiga pe</w:t>
      </w:r>
      <w:r w:rsidR="00E04AC6">
        <w:t>rkara tersebut (sekaligus).”</w:t>
      </w:r>
      <w:r w:rsidR="00E04AC6">
        <w:rPr>
          <w:rStyle w:val="FootnoteReference"/>
        </w:rPr>
        <w:footnoteReference w:id="4"/>
      </w:r>
    </w:p>
    <w:p w:rsidR="002F2DEF" w:rsidRDefault="002F2DEF" w:rsidP="002F2DEF">
      <w:pPr>
        <w:ind w:firstLine="680"/>
        <w:jc w:val="both"/>
      </w:pPr>
      <w:r>
        <w:lastRenderedPageBreak/>
        <w:t>Sebagian ulama salaf (ulama terdahulu) mengatakan: “Siapa saja yang beribadah kepada Alloh subhanahu wata’ala hanya dengan cinta maka ia seorang zindiq, dan siapa saja yang beribadah kepada-Nya hanya dengan harapan semata maka ia seorang murji’ah, dan  siapa saja yang beribadah kepada-Nya hanya dengan takut semata maka ia seorang haruri yaitu khowarij, sedangkan seorang yang beribadah kepada Alloh azza wajalla dengan kecintaan, rasa takut serta harapannya maka ia seorang mu’min muwahhid </w:t>
      </w:r>
      <w:r w:rsidR="00E04AC6">
        <w:t>(yang meng-Esa-kan Alloh) .”</w:t>
      </w:r>
      <w:r w:rsidR="00E04AC6">
        <w:rPr>
          <w:rStyle w:val="FootnoteReference"/>
        </w:rPr>
        <w:footnoteReference w:id="5"/>
      </w:r>
    </w:p>
    <w:p w:rsidR="002F2DEF" w:rsidRDefault="002F2DEF" w:rsidP="00337D65">
      <w:pPr>
        <w:pStyle w:val="ListParagraph"/>
        <w:ind w:left="567"/>
      </w:pPr>
    </w:p>
    <w:p w:rsidR="003B3EA3" w:rsidRPr="003B3EA3" w:rsidRDefault="003B3EA3" w:rsidP="003B3EA3">
      <w:pPr>
        <w:pStyle w:val="ListParagraph"/>
        <w:numPr>
          <w:ilvl w:val="0"/>
          <w:numId w:val="1"/>
        </w:numPr>
        <w:ind w:left="284" w:hanging="284"/>
        <w:rPr>
          <w:b/>
          <w:bCs/>
        </w:rPr>
      </w:pPr>
      <w:r w:rsidRPr="003B3EA3">
        <w:rPr>
          <w:b/>
          <w:bCs/>
        </w:rPr>
        <w:t>Penutup</w:t>
      </w:r>
    </w:p>
    <w:p w:rsidR="00AD7ECF" w:rsidRDefault="00AD7ECF" w:rsidP="00AD7ECF">
      <w:pPr>
        <w:ind w:firstLine="680"/>
        <w:jc w:val="both"/>
      </w:pPr>
      <w:r>
        <w:t xml:space="preserve">Ketiga pilar yang telah disebutkan di atas harus terdapat dalam setiap ibadah seorang hamba. Tidaklah benar ibadah seseorang jika satu saja dari ketiga hal tersebut hilang. Seseorang yang memiliki rasa takut yang berlebihan </w:t>
      </w:r>
      <w:proofErr w:type="gramStart"/>
      <w:r>
        <w:t>akan</w:t>
      </w:r>
      <w:proofErr w:type="gramEnd"/>
      <w:r>
        <w:t xml:space="preserve"> menyebabkan dirinya putus asa, sedangkan jika rasa takutnya rendah maka dengan mudahnya dia akan bermaksiat kepada Tuhannya.</w:t>
      </w:r>
    </w:p>
    <w:p w:rsidR="00AD7ECF" w:rsidRDefault="00AD7ECF" w:rsidP="00AD7ECF">
      <w:pPr>
        <w:ind w:firstLine="680"/>
        <w:jc w:val="both"/>
      </w:pPr>
      <w:r>
        <w:t xml:space="preserve">Kebalikannya seseorang yang berlebihan rasa harapnya </w:t>
      </w:r>
      <w:proofErr w:type="gramStart"/>
      <w:r>
        <w:t>akan</w:t>
      </w:r>
      <w:proofErr w:type="gramEnd"/>
      <w:r>
        <w:t xml:space="preserve"> menyebabkan dia mudah bermaksiat dan jika rendah rasa harapnya maka dia akan mudah putus asa. Sedangkan kedudukan cinta, maka cinta inilah yang mendorong seseorang untuk melakukan sesuatu. Sehingga diibaratkan bahwa kedudukan ketiga pilar ini dalam ibadah bagaikan kedudukan seekor burung, dimana rasa takut dan harap sebagai kedua sayapnya yang harus seimbang dan rasa cinta sebagai kepalanya yang merupakan pokok kehidupannya.</w:t>
      </w:r>
    </w:p>
    <w:p w:rsidR="003B3EA3" w:rsidRDefault="003B3EA3" w:rsidP="003B3EA3"/>
    <w:p w:rsidR="003B3EA3" w:rsidRDefault="003B3EA3" w:rsidP="003B3EA3"/>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3B3EA3" w:rsidRDefault="003B3EA3" w:rsidP="003B3EA3">
      <w:pPr>
        <w:jc w:val="both"/>
      </w:pPr>
    </w:p>
    <w:p w:rsidR="00E04AC6" w:rsidRDefault="00E04AC6" w:rsidP="003B3EA3">
      <w:pPr>
        <w:jc w:val="both"/>
        <w:sectPr w:rsidR="00E04AC6" w:rsidSect="00B33EA8">
          <w:pgSz w:w="11907" w:h="16840" w:code="9"/>
          <w:pgMar w:top="2268" w:right="1701" w:bottom="1701" w:left="2268" w:header="720" w:footer="720" w:gutter="0"/>
          <w:cols w:space="720"/>
          <w:docGrid w:linePitch="360"/>
        </w:sectPr>
      </w:pPr>
    </w:p>
    <w:p w:rsidR="003B3EA3" w:rsidRPr="00E04AC6" w:rsidRDefault="00E04AC6" w:rsidP="00E04AC6">
      <w:pPr>
        <w:jc w:val="center"/>
        <w:rPr>
          <w:b/>
          <w:bCs/>
        </w:rPr>
      </w:pPr>
      <w:r>
        <w:rPr>
          <w:b/>
          <w:bCs/>
        </w:rPr>
        <w:lastRenderedPageBreak/>
        <w:t>DAFTAR PUSTAKA</w:t>
      </w:r>
    </w:p>
    <w:p w:rsidR="00E04AC6" w:rsidRDefault="00E04AC6" w:rsidP="003B3EA3">
      <w:pPr>
        <w:jc w:val="both"/>
      </w:pPr>
    </w:p>
    <w:p w:rsidR="00AD7ECF" w:rsidRDefault="000554CD" w:rsidP="000554CD">
      <w:pPr>
        <w:pStyle w:val="FootnoteText"/>
        <w:jc w:val="both"/>
        <w:rPr>
          <w:sz w:val="24"/>
          <w:szCs w:val="24"/>
        </w:rPr>
      </w:pPr>
      <w:r w:rsidRPr="000554CD">
        <w:rPr>
          <w:sz w:val="24"/>
          <w:szCs w:val="24"/>
        </w:rPr>
        <w:t>Utsaimin</w:t>
      </w:r>
      <w:r>
        <w:rPr>
          <w:sz w:val="24"/>
          <w:szCs w:val="24"/>
        </w:rPr>
        <w:t>,</w:t>
      </w:r>
      <w:r w:rsidRPr="000554CD">
        <w:rPr>
          <w:i/>
          <w:iCs/>
          <w:sz w:val="24"/>
          <w:szCs w:val="24"/>
        </w:rPr>
        <w:t xml:space="preserve"> </w:t>
      </w:r>
      <w:r w:rsidRPr="000554CD">
        <w:rPr>
          <w:sz w:val="24"/>
          <w:szCs w:val="24"/>
        </w:rPr>
        <w:t>Syaikh Muhammad bin Shalih Al-</w:t>
      </w:r>
      <w:r>
        <w:rPr>
          <w:sz w:val="24"/>
          <w:szCs w:val="24"/>
        </w:rPr>
        <w:t>,</w:t>
      </w:r>
      <w:r w:rsidRPr="000554CD">
        <w:rPr>
          <w:i/>
          <w:iCs/>
          <w:sz w:val="24"/>
          <w:szCs w:val="24"/>
        </w:rPr>
        <w:t xml:space="preserve"> </w:t>
      </w:r>
      <w:r w:rsidR="00AD7ECF" w:rsidRPr="000554CD">
        <w:rPr>
          <w:i/>
          <w:iCs/>
          <w:sz w:val="24"/>
          <w:szCs w:val="24"/>
        </w:rPr>
        <w:t>S</w:t>
      </w:r>
      <w:r w:rsidR="00AD7ECF" w:rsidRPr="000554CD">
        <w:rPr>
          <w:i/>
          <w:iCs/>
          <w:sz w:val="24"/>
          <w:szCs w:val="24"/>
        </w:rPr>
        <w:t>yarah Tsalatsatul Ushul</w:t>
      </w:r>
      <w:r>
        <w:rPr>
          <w:sz w:val="24"/>
          <w:szCs w:val="24"/>
        </w:rPr>
        <w:t xml:space="preserve">, </w:t>
      </w:r>
      <w:proofErr w:type="gramStart"/>
      <w:r>
        <w:rPr>
          <w:sz w:val="24"/>
          <w:szCs w:val="24"/>
        </w:rPr>
        <w:t>Jakarta</w:t>
      </w:r>
      <w:proofErr w:type="gramEnd"/>
      <w:r>
        <w:rPr>
          <w:sz w:val="24"/>
          <w:szCs w:val="24"/>
        </w:rPr>
        <w:t>: Al-Qowam, 1999.</w:t>
      </w:r>
    </w:p>
    <w:p w:rsidR="00AD7ECF" w:rsidRPr="00AD7ECF" w:rsidRDefault="00AD7ECF" w:rsidP="00AD7ECF">
      <w:pPr>
        <w:pStyle w:val="FootnoteText"/>
        <w:jc w:val="both"/>
        <w:rPr>
          <w:sz w:val="24"/>
          <w:szCs w:val="24"/>
        </w:rPr>
      </w:pPr>
    </w:p>
    <w:p w:rsidR="00AD7ECF" w:rsidRDefault="00AD7ECF" w:rsidP="000554CD">
      <w:pPr>
        <w:pStyle w:val="FootnoteText"/>
        <w:jc w:val="both"/>
        <w:rPr>
          <w:sz w:val="24"/>
          <w:szCs w:val="24"/>
        </w:rPr>
      </w:pPr>
      <w:r w:rsidRPr="00AD7ECF">
        <w:rPr>
          <w:sz w:val="24"/>
          <w:szCs w:val="24"/>
        </w:rPr>
        <w:t>Ibnu Taimiyyah</w:t>
      </w:r>
      <w:r w:rsidR="000554CD">
        <w:rPr>
          <w:sz w:val="24"/>
          <w:szCs w:val="24"/>
        </w:rPr>
        <w:t>,</w:t>
      </w:r>
      <w:r>
        <w:rPr>
          <w:sz w:val="24"/>
          <w:szCs w:val="24"/>
        </w:rPr>
        <w:t xml:space="preserve"> </w:t>
      </w:r>
      <w:r w:rsidRPr="000554CD">
        <w:rPr>
          <w:i/>
          <w:iCs/>
          <w:sz w:val="24"/>
          <w:szCs w:val="24"/>
        </w:rPr>
        <w:t>A</w:t>
      </w:r>
      <w:r w:rsidRPr="000554CD">
        <w:rPr>
          <w:i/>
          <w:iCs/>
          <w:sz w:val="24"/>
          <w:szCs w:val="24"/>
        </w:rPr>
        <w:t>l-Ubudiya</w:t>
      </w:r>
      <w:r w:rsidR="000554CD" w:rsidRPr="000554CD">
        <w:rPr>
          <w:i/>
          <w:iCs/>
          <w:sz w:val="24"/>
          <w:szCs w:val="24"/>
        </w:rPr>
        <w:t>h: Hakikat Penghambaan Diri</w:t>
      </w:r>
      <w:r w:rsidR="000554CD">
        <w:rPr>
          <w:sz w:val="24"/>
          <w:szCs w:val="24"/>
        </w:rPr>
        <w:t>, Jakarta: Griya Ilmu, 2002.</w:t>
      </w:r>
    </w:p>
    <w:p w:rsidR="00AD7ECF" w:rsidRPr="00AD7ECF" w:rsidRDefault="00AD7ECF" w:rsidP="00AD7ECF">
      <w:pPr>
        <w:pStyle w:val="FootnoteText"/>
        <w:jc w:val="both"/>
        <w:rPr>
          <w:sz w:val="24"/>
          <w:szCs w:val="24"/>
        </w:rPr>
      </w:pPr>
    </w:p>
    <w:p w:rsidR="00AD7ECF" w:rsidRDefault="00AD7ECF" w:rsidP="007E12C3">
      <w:pPr>
        <w:pStyle w:val="FootnoteText"/>
        <w:jc w:val="both"/>
        <w:rPr>
          <w:sz w:val="24"/>
          <w:szCs w:val="24"/>
        </w:rPr>
      </w:pPr>
      <w:r w:rsidRPr="00AD7ECF">
        <w:rPr>
          <w:sz w:val="24"/>
          <w:szCs w:val="24"/>
        </w:rPr>
        <w:t>Syaikh Abd</w:t>
      </w:r>
      <w:r w:rsidR="007E12C3">
        <w:rPr>
          <w:sz w:val="24"/>
          <w:szCs w:val="24"/>
        </w:rPr>
        <w:t>urrohman bin Muhammad bin Qosim,</w:t>
      </w:r>
      <w:r w:rsidRPr="00AD7ECF">
        <w:rPr>
          <w:sz w:val="24"/>
          <w:szCs w:val="24"/>
        </w:rPr>
        <w:t xml:space="preserve"> </w:t>
      </w:r>
      <w:r w:rsidRPr="0062530A">
        <w:rPr>
          <w:i/>
          <w:iCs/>
          <w:sz w:val="24"/>
          <w:szCs w:val="24"/>
        </w:rPr>
        <w:t>Hasyiyatul Ushulits Tsalatsah</w:t>
      </w:r>
      <w:r w:rsidR="0062530A">
        <w:rPr>
          <w:sz w:val="24"/>
          <w:szCs w:val="24"/>
        </w:rPr>
        <w:t>, Saudi Arabia: 1999.</w:t>
      </w:r>
    </w:p>
    <w:p w:rsidR="00AD7ECF" w:rsidRDefault="00AD7ECF" w:rsidP="00AD7ECF">
      <w:pPr>
        <w:pStyle w:val="FootnoteText"/>
        <w:jc w:val="both"/>
        <w:rPr>
          <w:sz w:val="24"/>
          <w:szCs w:val="24"/>
        </w:rPr>
      </w:pPr>
    </w:p>
    <w:p w:rsidR="00AD7ECF" w:rsidRPr="007E12C3" w:rsidRDefault="007E12C3" w:rsidP="007E12C3">
      <w:pPr>
        <w:pStyle w:val="FootnoteText"/>
        <w:jc w:val="both"/>
        <w:rPr>
          <w:sz w:val="28"/>
          <w:szCs w:val="28"/>
        </w:rPr>
      </w:pPr>
      <w:r w:rsidRPr="007E12C3">
        <w:rPr>
          <w:rStyle w:val="st"/>
          <w:sz w:val="24"/>
          <w:szCs w:val="24"/>
        </w:rPr>
        <w:t xml:space="preserve">At Tamimi. Syaikh Muhamad, </w:t>
      </w:r>
      <w:r w:rsidRPr="007E12C3">
        <w:rPr>
          <w:rStyle w:val="Emphasis"/>
          <w:sz w:val="24"/>
          <w:szCs w:val="24"/>
        </w:rPr>
        <w:t>Kitab at</w:t>
      </w:r>
      <w:r w:rsidRPr="007E12C3">
        <w:rPr>
          <w:rStyle w:val="st"/>
          <w:sz w:val="24"/>
          <w:szCs w:val="24"/>
        </w:rPr>
        <w:t>-</w:t>
      </w:r>
      <w:r w:rsidRPr="007E12C3">
        <w:rPr>
          <w:rStyle w:val="Emphasis"/>
          <w:sz w:val="24"/>
          <w:szCs w:val="24"/>
        </w:rPr>
        <w:t>Tauhid</w:t>
      </w:r>
      <w:r w:rsidRPr="007E12C3">
        <w:rPr>
          <w:rStyle w:val="st"/>
          <w:sz w:val="24"/>
          <w:szCs w:val="24"/>
        </w:rPr>
        <w:t xml:space="preserve">. </w:t>
      </w:r>
      <w:proofErr w:type="gramStart"/>
      <w:r>
        <w:rPr>
          <w:rStyle w:val="st"/>
          <w:sz w:val="24"/>
          <w:szCs w:val="24"/>
        </w:rPr>
        <w:t>diterje</w:t>
      </w:r>
      <w:r w:rsidRPr="007E12C3">
        <w:rPr>
          <w:rStyle w:val="st"/>
          <w:sz w:val="24"/>
          <w:szCs w:val="24"/>
        </w:rPr>
        <w:t>mah</w:t>
      </w:r>
      <w:r>
        <w:rPr>
          <w:rStyle w:val="st"/>
          <w:sz w:val="24"/>
          <w:szCs w:val="24"/>
        </w:rPr>
        <w:t>kan</w:t>
      </w:r>
      <w:proofErr w:type="gramEnd"/>
      <w:r w:rsidRPr="007E12C3">
        <w:rPr>
          <w:rStyle w:val="st"/>
          <w:sz w:val="24"/>
          <w:szCs w:val="24"/>
        </w:rPr>
        <w:t xml:space="preserve"> Muhammad </w:t>
      </w:r>
      <w:r w:rsidRPr="007E12C3">
        <w:rPr>
          <w:rStyle w:val="st"/>
          <w:sz w:val="24"/>
          <w:szCs w:val="24"/>
        </w:rPr>
        <w:t xml:space="preserve">Yusuf Harun </w:t>
      </w:r>
      <w:r w:rsidRPr="007E12C3">
        <w:rPr>
          <w:rStyle w:val="st"/>
          <w:sz w:val="24"/>
          <w:szCs w:val="24"/>
        </w:rPr>
        <w:t>Alla</w:t>
      </w:r>
      <w:r>
        <w:rPr>
          <w:rStyle w:val="st"/>
          <w:sz w:val="24"/>
          <w:szCs w:val="24"/>
        </w:rPr>
        <w:t xml:space="preserve">dzi Huwa Haqqullah 'alal Ibad, </w:t>
      </w:r>
      <w:r w:rsidRPr="007E12C3">
        <w:rPr>
          <w:rStyle w:val="st"/>
          <w:sz w:val="24"/>
          <w:szCs w:val="24"/>
        </w:rPr>
        <w:t>Jakarta: Yayasan Al-Sofwa. 2000</w:t>
      </w:r>
      <w:r>
        <w:rPr>
          <w:rStyle w:val="st"/>
          <w:sz w:val="24"/>
          <w:szCs w:val="24"/>
        </w:rPr>
        <w:t>.</w:t>
      </w:r>
    </w:p>
    <w:p w:rsidR="00AD7ECF" w:rsidRDefault="00AD7ECF" w:rsidP="003B3EA3">
      <w:pPr>
        <w:jc w:val="both"/>
      </w:pPr>
    </w:p>
    <w:sectPr w:rsidR="00AD7ECF" w:rsidSect="00B33EA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FB6" w:rsidRDefault="007A2FB6" w:rsidP="00E04AC6">
      <w:pPr>
        <w:spacing w:line="240" w:lineRule="auto"/>
      </w:pPr>
      <w:r>
        <w:separator/>
      </w:r>
    </w:p>
  </w:endnote>
  <w:endnote w:type="continuationSeparator" w:id="0">
    <w:p w:rsidR="007A2FB6" w:rsidRDefault="007A2FB6" w:rsidP="00E04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000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FB6" w:rsidRDefault="007A2FB6" w:rsidP="00E04AC6">
      <w:pPr>
        <w:spacing w:line="240" w:lineRule="auto"/>
      </w:pPr>
      <w:r>
        <w:separator/>
      </w:r>
    </w:p>
  </w:footnote>
  <w:footnote w:type="continuationSeparator" w:id="0">
    <w:p w:rsidR="007A2FB6" w:rsidRDefault="007A2FB6" w:rsidP="00E04AC6">
      <w:pPr>
        <w:spacing w:line="240" w:lineRule="auto"/>
      </w:pPr>
      <w:r>
        <w:continuationSeparator/>
      </w:r>
    </w:p>
  </w:footnote>
  <w:footnote w:id="1">
    <w:p w:rsidR="00E04AC6" w:rsidRDefault="00E04AC6" w:rsidP="004C4B93">
      <w:pPr>
        <w:pStyle w:val="FootnoteText"/>
        <w:ind w:firstLine="680"/>
        <w:jc w:val="both"/>
      </w:pPr>
      <w:r>
        <w:rPr>
          <w:rStyle w:val="FootnoteReference"/>
        </w:rPr>
        <w:footnoteRef/>
      </w:r>
      <w:r>
        <w:t xml:space="preserve"> </w:t>
      </w:r>
      <w:r>
        <w:t>Syarah Tsalatsatul Ushul, hlm 120</w:t>
      </w:r>
    </w:p>
  </w:footnote>
  <w:footnote w:id="2">
    <w:p w:rsidR="00E04AC6" w:rsidRDefault="00E04AC6" w:rsidP="004C4B93">
      <w:pPr>
        <w:pStyle w:val="FootnoteText"/>
        <w:ind w:firstLine="680"/>
        <w:jc w:val="both"/>
      </w:pPr>
      <w:r>
        <w:rPr>
          <w:rStyle w:val="FootnoteReference"/>
        </w:rPr>
        <w:footnoteRef/>
      </w:r>
      <w:r>
        <w:t> Lihat al-Ubudiyah oleh Syaikhul Islam Ibnu Taimiyyah rahimahullahu ta’ala hlm 8 dan syarahnya hlm 18</w:t>
      </w:r>
    </w:p>
  </w:footnote>
  <w:footnote w:id="3">
    <w:p w:rsidR="00E04AC6" w:rsidRDefault="00E04AC6" w:rsidP="004C4B93">
      <w:pPr>
        <w:pStyle w:val="FootnoteText"/>
        <w:ind w:firstLine="680"/>
        <w:jc w:val="both"/>
      </w:pPr>
      <w:r>
        <w:rPr>
          <w:rStyle w:val="FootnoteReference"/>
        </w:rPr>
        <w:footnoteRef/>
      </w:r>
      <w:r>
        <w:t xml:space="preserve"> </w:t>
      </w:r>
      <w:r>
        <w:t>Lihat Hasyiyatul Ushulits Tsalatsah oleh Syaikh Abdurrohman bin Muhammad bin Qosim rahimahullahu ta’ala hlm 50 dan Syarah Tsalatsatil Ushul hlm 56-57</w:t>
      </w:r>
    </w:p>
  </w:footnote>
  <w:footnote w:id="4">
    <w:p w:rsidR="00E04AC6" w:rsidRDefault="00E04AC6" w:rsidP="004C4B93">
      <w:pPr>
        <w:pStyle w:val="FootnoteText"/>
        <w:ind w:firstLine="680"/>
        <w:jc w:val="both"/>
      </w:pPr>
      <w:r>
        <w:rPr>
          <w:rStyle w:val="FootnoteReference"/>
        </w:rPr>
        <w:footnoteRef/>
      </w:r>
      <w:r>
        <w:t xml:space="preserve"> </w:t>
      </w:r>
      <w:r>
        <w:t>Lihat Kitabut Tauhid hlm 56</w:t>
      </w:r>
    </w:p>
  </w:footnote>
  <w:footnote w:id="5">
    <w:p w:rsidR="00E04AC6" w:rsidRDefault="00E04AC6" w:rsidP="004C4B93">
      <w:pPr>
        <w:pStyle w:val="FootnoteText"/>
        <w:ind w:firstLine="680"/>
        <w:jc w:val="both"/>
      </w:pPr>
      <w:r>
        <w:rPr>
          <w:rStyle w:val="FootnoteReference"/>
        </w:rPr>
        <w:footnoteRef/>
      </w:r>
      <w:r>
        <w:t xml:space="preserve"> </w:t>
      </w:r>
      <w:r>
        <w:t>Lihat  Kitabut Tauhid hlm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CCF"/>
    <w:multiLevelType w:val="hybridMultilevel"/>
    <w:tmpl w:val="3F3C2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6DE8"/>
    <w:multiLevelType w:val="hybridMultilevel"/>
    <w:tmpl w:val="59D0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A3"/>
    <w:rsid w:val="00003AE4"/>
    <w:rsid w:val="00014458"/>
    <w:rsid w:val="00032AEF"/>
    <w:rsid w:val="000554CD"/>
    <w:rsid w:val="000C2ABA"/>
    <w:rsid w:val="000F2CAD"/>
    <w:rsid w:val="00123011"/>
    <w:rsid w:val="001A3143"/>
    <w:rsid w:val="001C23ED"/>
    <w:rsid w:val="0020133B"/>
    <w:rsid w:val="0023374D"/>
    <w:rsid w:val="002D71CA"/>
    <w:rsid w:val="002F2DEF"/>
    <w:rsid w:val="00336311"/>
    <w:rsid w:val="00337D65"/>
    <w:rsid w:val="00370359"/>
    <w:rsid w:val="0039370D"/>
    <w:rsid w:val="003B3EA3"/>
    <w:rsid w:val="003E67A5"/>
    <w:rsid w:val="00404D96"/>
    <w:rsid w:val="00406449"/>
    <w:rsid w:val="004466CC"/>
    <w:rsid w:val="00495917"/>
    <w:rsid w:val="004C4B93"/>
    <w:rsid w:val="0051308F"/>
    <w:rsid w:val="005700E6"/>
    <w:rsid w:val="005B65B4"/>
    <w:rsid w:val="0062530A"/>
    <w:rsid w:val="006651B7"/>
    <w:rsid w:val="006E4551"/>
    <w:rsid w:val="00777BF7"/>
    <w:rsid w:val="007807B3"/>
    <w:rsid w:val="007A2FB6"/>
    <w:rsid w:val="007A74B7"/>
    <w:rsid w:val="007E12C3"/>
    <w:rsid w:val="007F5CCE"/>
    <w:rsid w:val="00807272"/>
    <w:rsid w:val="0081029C"/>
    <w:rsid w:val="008B178D"/>
    <w:rsid w:val="00902529"/>
    <w:rsid w:val="00905D08"/>
    <w:rsid w:val="00973FCC"/>
    <w:rsid w:val="009A369D"/>
    <w:rsid w:val="009C33A2"/>
    <w:rsid w:val="00A55AD4"/>
    <w:rsid w:val="00AB275E"/>
    <w:rsid w:val="00AB5F5F"/>
    <w:rsid w:val="00AD7ECF"/>
    <w:rsid w:val="00AF34D0"/>
    <w:rsid w:val="00B2542D"/>
    <w:rsid w:val="00B33EA8"/>
    <w:rsid w:val="00B812F3"/>
    <w:rsid w:val="00BA0DD6"/>
    <w:rsid w:val="00C37533"/>
    <w:rsid w:val="00C707E2"/>
    <w:rsid w:val="00D41142"/>
    <w:rsid w:val="00D53A59"/>
    <w:rsid w:val="00DB565A"/>
    <w:rsid w:val="00E04AC6"/>
    <w:rsid w:val="00E20302"/>
    <w:rsid w:val="00E720E3"/>
    <w:rsid w:val="00F03C35"/>
    <w:rsid w:val="00F3476D"/>
    <w:rsid w:val="00F74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0731"/>
  <w15:chartTrackingRefBased/>
  <w15:docId w15:val="{53E28DE9-9141-41B0-9F7E-2E0AD529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raditional Arabic"/>
        <w:sz w:val="24"/>
        <w:szCs w:val="36"/>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EA3"/>
    <w:pPr>
      <w:ind w:left="720"/>
      <w:contextualSpacing/>
    </w:pPr>
  </w:style>
  <w:style w:type="paragraph" w:styleId="FootnoteText">
    <w:name w:val="footnote text"/>
    <w:basedOn w:val="Normal"/>
    <w:link w:val="FootnoteTextChar"/>
    <w:uiPriority w:val="99"/>
    <w:semiHidden/>
    <w:unhideWhenUsed/>
    <w:rsid w:val="00E04AC6"/>
    <w:pPr>
      <w:spacing w:line="240" w:lineRule="auto"/>
    </w:pPr>
    <w:rPr>
      <w:sz w:val="20"/>
      <w:szCs w:val="20"/>
    </w:rPr>
  </w:style>
  <w:style w:type="character" w:customStyle="1" w:styleId="FootnoteTextChar">
    <w:name w:val="Footnote Text Char"/>
    <w:basedOn w:val="DefaultParagraphFont"/>
    <w:link w:val="FootnoteText"/>
    <w:uiPriority w:val="99"/>
    <w:semiHidden/>
    <w:rsid w:val="00E04AC6"/>
    <w:rPr>
      <w:sz w:val="20"/>
      <w:szCs w:val="20"/>
    </w:rPr>
  </w:style>
  <w:style w:type="character" w:styleId="FootnoteReference">
    <w:name w:val="footnote reference"/>
    <w:basedOn w:val="DefaultParagraphFont"/>
    <w:uiPriority w:val="99"/>
    <w:semiHidden/>
    <w:unhideWhenUsed/>
    <w:rsid w:val="00E04AC6"/>
    <w:rPr>
      <w:vertAlign w:val="superscript"/>
    </w:rPr>
  </w:style>
  <w:style w:type="character" w:styleId="Emphasis">
    <w:name w:val="Emphasis"/>
    <w:basedOn w:val="DefaultParagraphFont"/>
    <w:uiPriority w:val="20"/>
    <w:qFormat/>
    <w:rsid w:val="004C4B93"/>
    <w:rPr>
      <w:i/>
      <w:iCs/>
    </w:rPr>
  </w:style>
  <w:style w:type="character" w:customStyle="1" w:styleId="st">
    <w:name w:val="st"/>
    <w:basedOn w:val="DefaultParagraphFont"/>
    <w:rsid w:val="007E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2020-06-25T00:50:00Z</dcterms:created>
  <dcterms:modified xsi:type="dcterms:W3CDTF">2020-06-25T01:31:00Z</dcterms:modified>
</cp:coreProperties>
</file>